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auto"/>
        </w:rPr>
      </w:pPr>
      <w:r>
        <w:rPr>
          <w:b/>
          <w:bCs/>
          <w:color w:val="auto"/>
        </w:rPr>
        <w:t>Uchwała Głównego Sądu Koleżeńskiego nr 2/2024</w:t>
      </w:r>
    </w:p>
    <w:p>
      <w:pPr>
        <w:pStyle w:val="Normal"/>
        <w:jc w:val="center"/>
        <w:rPr>
          <w:b/>
          <w:b/>
          <w:bCs/>
        </w:rPr>
      </w:pPr>
      <w:r>
        <w:rPr>
          <w:b/>
          <w:bCs/>
        </w:rPr>
        <w:t xml:space="preserve">z dnia </w:t>
      </w:r>
      <w:r>
        <w:rPr>
          <w:b/>
          <w:bCs/>
          <w:color w:val="000000"/>
        </w:rPr>
        <w:t>25.04</w:t>
      </w:r>
      <w:r>
        <w:rPr>
          <w:b/>
          <w:bCs/>
        </w:rPr>
        <w:t>.2024</w:t>
      </w:r>
    </w:p>
    <w:p>
      <w:pPr>
        <w:pStyle w:val="Normal"/>
        <w:jc w:val="center"/>
        <w:rPr>
          <w:b/>
          <w:b/>
          <w:bCs/>
        </w:rPr>
      </w:pPr>
      <w:r>
        <w:rPr>
          <w:b/>
          <w:bCs/>
        </w:rPr>
        <w:t xml:space="preserve">w kwestii interpretacji przepisów art. 17 ust. 3  </w:t>
      </w:r>
      <w:r>
        <w:rPr>
          <w:b/>
          <w:bCs/>
          <w:i/>
          <w:iCs/>
        </w:rPr>
        <w:t>Statutu Polskiego Towarzystwa Tanecznego</w:t>
      </w:r>
      <w:r>
        <w:rPr>
          <w:b/>
          <w:bCs/>
        </w:rPr>
        <w:t xml:space="preserve"> wynikłych z jego stosowania</w:t>
      </w:r>
    </w:p>
    <w:p>
      <w:pPr>
        <w:pStyle w:val="Normal"/>
        <w:jc w:val="center"/>
        <w:rPr/>
      </w:pPr>
      <w:r>
        <w:rPr/>
      </w:r>
    </w:p>
    <w:p>
      <w:pPr>
        <w:pStyle w:val="Normal"/>
        <w:jc w:val="center"/>
        <w:rPr/>
      </w:pPr>
      <w:r>
        <w:rPr/>
        <w:t>§ 1</w:t>
      </w:r>
    </w:p>
    <w:p>
      <w:pPr>
        <w:pStyle w:val="Normal"/>
        <w:rPr/>
      </w:pPr>
      <w:r>
        <w:rPr/>
        <w:t xml:space="preserve">Na podstawie art. 22 ust. 1 pkt. 4 </w:t>
      </w:r>
      <w:r>
        <w:rPr>
          <w:i/>
          <w:iCs/>
        </w:rPr>
        <w:t>Statutu Polskiego Towarzystwa Tanecznego</w:t>
      </w:r>
      <w:r>
        <w:rPr/>
        <w:t xml:space="preserve"> (zwanego dalej </w:t>
      </w:r>
      <w:r>
        <w:rPr>
          <w:i/>
          <w:iCs/>
        </w:rPr>
        <w:t>Statutem</w:t>
      </w:r>
      <w:r>
        <w:rPr/>
        <w:t>) Główny Sąd Koleżeński dla praktyki orzekania przez sądy koleżeńskie stanowi co następuje:</w:t>
      </w:r>
    </w:p>
    <w:p>
      <w:pPr>
        <w:pStyle w:val="ListParagraph"/>
        <w:numPr>
          <w:ilvl w:val="0"/>
          <w:numId w:val="1"/>
        </w:numPr>
        <w:ind w:left="567" w:hanging="567"/>
        <w:rPr/>
      </w:pPr>
      <w:r>
        <w:rPr>
          <w:b/>
          <w:bCs/>
        </w:rPr>
        <w:t>W kwestii charakteru prawnego odrzucenia projektu uchwał przez Zarząd Główny i zarządy okręgów</w:t>
      </w:r>
      <w:r>
        <w:rPr/>
        <w:t xml:space="preserve">: Ponieważ językowa wykładnia art. 17 ust. 3 </w:t>
      </w:r>
      <w:r>
        <w:rPr>
          <w:i/>
          <w:iCs/>
        </w:rPr>
        <w:t>Statutu</w:t>
      </w:r>
      <w:r>
        <w:rPr/>
        <w:t xml:space="preserve"> zdanie pierwsze „Zarząd Główny podejmuje decyzje w formie uchwał” prowadziłaby do absurdalnej tezy, że zarząd nie może odrzucić projektu uchwały w głosowaniu, gdyż wyrażenie woli zarządu w ten sposób nie przybrałoby formy uchwały, należy sięgnąć do wykładni funkcjonalnej przyjmując domniemanie, że odrzucenie projektu uchwały jest tym samym przyjęciem uchwały o odrzuceniu projektu uchwały.</w:t>
      </w:r>
    </w:p>
    <w:p>
      <w:pPr>
        <w:pStyle w:val="ListParagraph"/>
        <w:numPr>
          <w:ilvl w:val="0"/>
          <w:numId w:val="1"/>
        </w:numPr>
        <w:ind w:left="567" w:hanging="567"/>
        <w:rPr/>
      </w:pPr>
      <w:r>
        <w:rPr>
          <w:b/>
          <w:bCs/>
        </w:rPr>
        <w:t xml:space="preserve">W kwestii prawomocności uchwał Zarządu Głównego i zarządów okręgów: </w:t>
      </w:r>
      <w:r>
        <w:rPr/>
        <w:t xml:space="preserve">uchwałę Zarządu Głównego, względnie zarządu okręgu uważa się za prawomocną z chwilą zakończenia głosowania spełniającego wymogi art. 8 ust. 8 </w:t>
      </w:r>
      <w:r>
        <w:rPr>
          <w:i/>
          <w:iCs/>
        </w:rPr>
        <w:t>Statutu</w:t>
      </w:r>
      <w:r>
        <w:rPr/>
        <w:t xml:space="preserve"> – odnośnie niezbędnych kworum i większości oraz art. 17 ust. 3 zdanie drugie </w:t>
      </w:r>
      <w:r>
        <w:rPr>
          <w:i/>
          <w:iCs/>
        </w:rPr>
        <w:t>Statutu</w:t>
      </w:r>
      <w:r>
        <w:rPr/>
        <w:t xml:space="preserve"> – odnośnie sposobu głosowania.</w:t>
      </w:r>
    </w:p>
    <w:p>
      <w:pPr>
        <w:pStyle w:val="ListParagraph"/>
        <w:numPr>
          <w:ilvl w:val="0"/>
          <w:numId w:val="1"/>
        </w:numPr>
        <w:ind w:left="567" w:hanging="567"/>
        <w:rPr/>
      </w:pPr>
      <w:r>
        <w:rPr>
          <w:b/>
          <w:bCs/>
        </w:rPr>
        <w:t>W kwestii publikacji uchwały o odrzuceniu projektu uchwały</w:t>
      </w:r>
      <w:r>
        <w:rPr/>
        <w:t xml:space="preserve">: Ponieważ art. 17 ust. 3 zdanie czwarte </w:t>
      </w:r>
      <w:r>
        <w:rPr>
          <w:i/>
          <w:iCs/>
        </w:rPr>
        <w:t>Statutu</w:t>
      </w:r>
      <w:r>
        <w:rPr/>
        <w:t xml:space="preserve"> nakłada obowiązek publikacji uchwał i wyników głosowania Zarządu Głównego i zarządów okręgów, w przypadku, o którym mowa w § 1 ust. 1 niniejszej uchwały Głównego Sądu Koleżeńskiego, uczynienie zadość temu obowiązkowi wymaga zamieszczenia na stronie internetowej, w zakładce dotyczącej uchwał zarządu, zwartego zapisu zawierającego co najmniej:</w:t>
      </w:r>
    </w:p>
    <w:p>
      <w:pPr>
        <w:pStyle w:val="ListParagraph"/>
        <w:numPr>
          <w:ilvl w:val="0"/>
          <w:numId w:val="2"/>
        </w:numPr>
        <w:ind w:left="1134" w:hanging="567"/>
        <w:rPr/>
      </w:pPr>
      <w:r>
        <w:rPr/>
        <w:t>treści projektu odrzuconej uchwały;</w:t>
      </w:r>
    </w:p>
    <w:p>
      <w:pPr>
        <w:pStyle w:val="ListParagraph"/>
        <w:numPr>
          <w:ilvl w:val="0"/>
          <w:numId w:val="2"/>
        </w:numPr>
        <w:ind w:left="1134" w:hanging="567"/>
        <w:rPr/>
      </w:pPr>
      <w:r>
        <w:rPr/>
        <w:t>wynik głosowania, którego skutkiem stało się odrzucenie projektu uchwały, w postaci sumarycznego podania liczby głosów: popierających projekt, przeciwnych projektowi oraz wstrzymujących się;</w:t>
      </w:r>
    </w:p>
    <w:p>
      <w:pPr>
        <w:pStyle w:val="ListParagraph"/>
        <w:numPr>
          <w:ilvl w:val="0"/>
          <w:numId w:val="2"/>
        </w:numPr>
        <w:ind w:left="1134" w:hanging="567"/>
        <w:rPr/>
      </w:pPr>
      <w:r>
        <w:rPr/>
        <w:t>adnotację: „Tym samym Zarząd podjął uchwałę o odrzuceniu wyżej wymienionego projektu uchwały”.</w:t>
      </w:r>
    </w:p>
    <w:p>
      <w:pPr>
        <w:pStyle w:val="Normal"/>
        <w:ind w:left="567" w:hanging="0"/>
        <w:rPr/>
      </w:pPr>
      <w:r>
        <w:rPr/>
        <w:t xml:space="preserve">Za zalecane, lecz </w:t>
      </w:r>
      <w:r>
        <w:rPr>
          <w:b/>
          <w:bCs/>
        </w:rPr>
        <w:t>nieobligatoryjne</w:t>
      </w:r>
      <w:r>
        <w:rPr/>
        <w:t xml:space="preserve"> należy uznać ewentualne publikowanie pełnej lub skrótowej informacji o stanowisku w danym głosowaniu każdego z uczestniczących w nim członków zarządu. </w:t>
      </w:r>
      <w:r>
        <w:rPr>
          <w:b/>
          <w:bCs/>
        </w:rPr>
        <w:t>Obligatoryjnie</w:t>
      </w:r>
      <w:r>
        <w:rPr/>
        <w:t xml:space="preserve"> natomiast zarząd powinien zabezpieczyć możliwość imiennego odtworzenia każdego głosowania nad projektami uchwał dla celów dowodowych i udostępniać owe dane na żądanie stron posiadających w tym interes prawny.</w:t>
      </w:r>
    </w:p>
    <w:p>
      <w:pPr>
        <w:pStyle w:val="ListParagraph"/>
        <w:numPr>
          <w:ilvl w:val="0"/>
          <w:numId w:val="1"/>
        </w:numPr>
        <w:ind w:left="567" w:hanging="567"/>
        <w:rPr/>
      </w:pPr>
      <w:r>
        <w:rPr>
          <w:b/>
          <w:bCs/>
        </w:rPr>
        <w:t>W kwestii uzasadnienia uchwały o odrzuceniu projektu uchwały:</w:t>
      </w:r>
      <w:r>
        <w:rPr/>
        <w:t xml:space="preserve"> w przypadku uchwały powstałej w wyniku odrzucenia projektu uchwały, o którym mowa w § 1 ust. 1 niniejszej uchwały Głównego Sądu Koleżeńskiego, jeżeli Zarząd Główny, względnie zarząd okręgu, decyduje się uzasadnić swoje stanowisko, czy to z własnej woli, czy też z nałożonego nań obowiązku, winien podjąć osobną uchwałę zawierającą treść owego uzasadnienia. Bez takiej uchwały, uzasadnienie odnośnie odrzucenia projektu uchwały wyrażone przez członka zainteresowanego zarządu lub ich grupę ma jedynie walor jego lub ich prywatnej opinii w tej sprawie i nie stanowi stanowiska zarządu.</w:t>
      </w:r>
    </w:p>
    <w:p>
      <w:pPr>
        <w:pStyle w:val="Normal"/>
        <w:tabs>
          <w:tab w:val="clear" w:pos="708"/>
          <w:tab w:val="left" w:pos="567" w:leader="none"/>
        </w:tabs>
        <w:rPr>
          <w:color w:val="auto"/>
        </w:rPr>
      </w:pPr>
      <w:r>
        <w:rPr>
          <w:color w:val="auto"/>
        </w:rPr>
      </w:r>
    </w:p>
    <w:p>
      <w:pPr>
        <w:pStyle w:val="Normal"/>
        <w:keepNext w:val="true"/>
        <w:jc w:val="center"/>
        <w:rPr>
          <w:color w:val="auto"/>
        </w:rPr>
      </w:pPr>
      <w:r>
        <w:rPr>
          <w:color w:val="auto"/>
        </w:rPr>
        <w:t>§ 2</w:t>
      </w:r>
    </w:p>
    <w:p>
      <w:pPr>
        <w:pStyle w:val="Normal"/>
        <w:tabs>
          <w:tab w:val="clear" w:pos="708"/>
          <w:tab w:val="left" w:pos="567" w:leader="none"/>
        </w:tabs>
        <w:rPr>
          <w:color w:val="auto"/>
        </w:rPr>
      </w:pPr>
      <w:r>
        <w:rPr>
          <w:color w:val="auto"/>
        </w:rPr>
        <w:t xml:space="preserve">Uchwała wchodzi w życie z dniem </w:t>
      </w:r>
      <w:r>
        <w:rPr>
          <w:color w:val="000000"/>
        </w:rPr>
        <w:t>1 maja</w:t>
      </w:r>
      <w:r>
        <w:rPr>
          <w:color w:val="FF0000"/>
        </w:rPr>
        <w:t xml:space="preserve"> </w:t>
      </w:r>
      <w:r>
        <w:rPr>
          <w:color w:val="auto"/>
        </w:rPr>
        <w:t>2024 roku i stosuje się również do wszystkich postępowań wszczętych, lecz nie zakończonych przed tą datą.</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6391620"/>
    </w:sdtPr>
    <w:sdtContent>
      <w:p>
        <w:pPr>
          <w:pStyle w:val="Stopka"/>
          <w:jc w:val="center"/>
          <w:rPr/>
        </w:pPr>
        <w:r>
          <w:rPr/>
          <w:fldChar w:fldCharType="begin"/>
        </w:r>
        <w:r>
          <w:rPr/>
          <w:instrText> PAGE </w:instrText>
        </w:r>
        <w:r>
          <w:rPr/>
          <w:fldChar w:fldCharType="separate"/>
        </w:r>
        <w:r>
          <w:rPr/>
          <w:t>2</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927" w:hanging="360"/>
      </w:pPr>
      <w:rPr>
        <w:b w:val="false"/>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kern w:val="2"/>
        <w:sz w:val="24"/>
        <w:szCs w:val="24"/>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0" w:before="0" w:after="0"/>
      <w:jc w:val="both"/>
    </w:pPr>
    <w:rPr>
      <w:rFonts w:ascii="Times New Roman" w:hAnsi="Times New Roman" w:eastAsia="Calibri" w:cs="Times New Roman" w:eastAsiaTheme="minorHAnsi"/>
      <w:color w:val="000000"/>
      <w:kern w:val="2"/>
      <w:sz w:val="24"/>
      <w:szCs w:val="24"/>
      <w:lang w:val="pl-PL" w:eastAsia="en-US" w:bidi="ar-SA"/>
      <w14:ligatures w14:val="standardContextua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a52ab"/>
    <w:rPr/>
  </w:style>
  <w:style w:type="character" w:styleId="StopkaZnak" w:customStyle="1">
    <w:name w:val="Stopka Znak"/>
    <w:basedOn w:val="DefaultParagraphFont"/>
    <w:link w:val="Stopka"/>
    <w:uiPriority w:val="99"/>
    <w:qFormat/>
    <w:rsid w:val="00da52ab"/>
    <w:rPr/>
  </w:style>
  <w:style w:type="character" w:styleId="TekstprzypisukocowegoZnak" w:customStyle="1">
    <w:name w:val="Tekst przypisu końcowego Znak"/>
    <w:basedOn w:val="DefaultParagraphFont"/>
    <w:link w:val="Tekstprzypisukocowego"/>
    <w:uiPriority w:val="99"/>
    <w:semiHidden/>
    <w:qFormat/>
    <w:rsid w:val="002e716e"/>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2e716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6d5786"/>
    <w:pPr>
      <w:spacing w:before="0" w:after="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da52ab"/>
    <w:pPr>
      <w:tabs>
        <w:tab w:val="clear" w:pos="708"/>
        <w:tab w:val="center" w:pos="4536" w:leader="none"/>
        <w:tab w:val="right" w:pos="9072" w:leader="none"/>
      </w:tabs>
      <w:spacing w:lineRule="auto" w:line="240"/>
    </w:pPr>
    <w:rPr/>
  </w:style>
  <w:style w:type="paragraph" w:styleId="Stopka">
    <w:name w:val="Footer"/>
    <w:basedOn w:val="Normal"/>
    <w:link w:val="StopkaZnak"/>
    <w:uiPriority w:val="99"/>
    <w:unhideWhenUsed/>
    <w:rsid w:val="00da52ab"/>
    <w:pPr>
      <w:tabs>
        <w:tab w:val="clear" w:pos="708"/>
        <w:tab w:val="center" w:pos="4536" w:leader="none"/>
        <w:tab w:val="right" w:pos="9072" w:leader="none"/>
      </w:tabs>
      <w:spacing w:lineRule="auto" w:line="240"/>
    </w:pPr>
    <w:rPr/>
  </w:style>
  <w:style w:type="paragraph" w:styleId="Przypiskocowy">
    <w:name w:val="Endnote Text"/>
    <w:basedOn w:val="Normal"/>
    <w:link w:val="TekstprzypisukocowegoZnak"/>
    <w:uiPriority w:val="99"/>
    <w:semiHidden/>
    <w:unhideWhenUsed/>
    <w:rsid w:val="002e716e"/>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D936-B4B7-4D57-A402-DA688C9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LibreOffice/7.2.2.2$Windows_X86_64 LibreOffice_project/02b2acce88a210515b4a5bb2e46cbfb63fe97d56</Application>
  <AppVersion>15.0000</AppVersion>
  <Pages>2</Pages>
  <Words>452</Words>
  <Characters>2797</Characters>
  <CharactersWithSpaces>3229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2024-04-17T04:14:00Z</dcterms:created>
  <dc:creator>Jarosław Jastrzębski</dc:creator>
  <dc:description/>
  <dc:language>pl-PL</dc:language>
  <cp:lastModifiedBy/>
  <cp:lastPrinted>2023-06-26T16:21:00Z</cp:lastPrinted>
  <dcterms:modified xsi:type="dcterms:W3CDTF">2024-04-25T10:44:22Z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